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rFonts w:ascii="Arial" w:hAnsi="Arial"/>
          <w:b/>
          <w:i w:val="0"/>
          <w:color w:val="1F4E8C"/>
          <w:sz w:val="36"/>
        </w:rPr>
        <w:t>Adjacent Excavation Notice</w:t>
      </w:r>
    </w:p>
    <w:p>
      <w:pPr>
        <w:spacing w:after="80"/>
      </w:pPr>
      <w:r>
        <w:rPr>
          <w:rFonts w:ascii="Arial" w:hAnsi="Arial"/>
          <w:b w:val="0"/>
          <w:i w:val="0"/>
          <w:color w:val="5A6573"/>
          <w:sz w:val="20"/>
        </w:rPr>
        <w:t>Party Wall etc. Act 1996, section 6 (digging near a neighbour's building)</w:t>
      </w:r>
    </w:p>
    <w:tbl>
      <w:tblPr>
        <w:tblW w:type="auto" w:w="0"/>
        <w:jc w:val="center"/>
        <w:tblLook w:firstColumn="1" w:firstRow="1" w:lastColumn="0" w:lastRow="0" w:noHBand="0" w:noVBand="1" w:val="04A0"/>
        <w:tblBorders>
          <w:top w:val="single" w:sz="6" w:space="0" w:color="9FB4D0"/>
          <w:left w:val="single" w:sz="6" w:space="0" w:color="9FB4D0"/>
          <w:bottom w:val="single" w:sz="6" w:space="0" w:color="9FB4D0"/>
          <w:right w:val="single" w:sz="6" w:space="0" w:color="9FB4D0"/>
          <w:insideH w:val="single" w:sz="6" w:space="0" w:color="9FB4D0"/>
          <w:insideV w:val="single" w:sz="6" w:space="0" w:color="9FB4D0"/>
        </w:tblBorders>
      </w:tblPr>
      <w:tblGrid>
        <w:gridCol w:w="9412"/>
      </w:tblGrid>
      <w:tr>
        <w:tc>
          <w:tcPr>
            <w:tcW w:type="dxa" w:w="9412"/>
            <w:shd w:val="clear" w:color="auto" w:fill="FFF4D6"/>
          </w:tcPr>
          <w:p>
            <w:pPr>
              <w:spacing w:after="60"/>
            </w:pPr>
            <w:r/>
            <w:r>
              <w:rPr>
                <w:rFonts w:ascii="Arial" w:hAnsi="Arial"/>
                <w:b w:val="0"/>
                <w:i w:val="0"/>
                <w:sz w:val="20"/>
              </w:rPr>
              <w:t xml:space="preserve">How to use this template: read this guidance, type over each yellow </w:t>
            </w:r>
            <w:r>
              <w:rPr>
                <w:rFonts w:ascii="Arial" w:hAnsi="Arial"/>
                <w:b w:val="0"/>
                <w:i w:val="0"/>
                <w:sz w:val="20"/>
                <w:highlight w:val="yellow"/>
              </w:rPr>
              <w:t>[bracketed]</w:t>
            </w:r>
            <w:r>
              <w:rPr>
                <w:rFonts w:ascii="Arial" w:hAnsi="Arial"/>
                <w:b w:val="0"/>
                <w:i w:val="0"/>
                <w:sz w:val="20"/>
              </w:rPr>
              <w:t xml:space="preserve"> section, remove the yellow highlight (Select All, then Home &gt; Text Highlight Colour &gt; No Colour), then delete the guidance page(s) before you print and serve the notice.</w:t>
            </w:r>
          </w:p>
        </w:tc>
      </w:tr>
    </w:tbl>
    <w:p>
      <w:pPr>
        <w:spacing w:after="40"/>
      </w:pPr>
    </w:p>
    <w:p>
      <w:pPr>
        <w:keepNext/>
        <w:spacing w:after="60" w:before="40"/>
      </w:pPr>
      <w:r>
        <w:rPr>
          <w:rFonts w:ascii="Arial" w:hAnsi="Arial"/>
          <w:b/>
          <w:i w:val="0"/>
          <w:color w:val="1F4E8C"/>
          <w:sz w:val="22"/>
        </w:rPr>
        <w:t>When you need it</w:t>
      </w:r>
    </w:p>
    <w:p>
      <w:pPr>
        <w:spacing w:after="60"/>
      </w:pPr>
      <w:r>
        <w:rPr>
          <w:rFonts w:ascii="Arial" w:hAnsi="Arial"/>
          <w:b w:val="0"/>
          <w:i w:val="0"/>
          <w:sz w:val="19"/>
        </w:rPr>
        <w:t>Use it when you plan to dig close to your neighbour's building and deeper than the bottom of their foundations. The Act applies in two situations:</w:t>
      </w:r>
    </w:p>
    <w:p>
      <w:pPr>
        <w:pStyle w:val="ListBullet"/>
        <w:spacing w:after="20"/>
      </w:pPr>
      <w:r>
        <w:rPr>
          <w:rFonts w:ascii="Arial" w:hAnsi="Arial"/>
          <w:b w:val="0"/>
          <w:i w:val="0"/>
          <w:sz w:val="19"/>
        </w:rPr>
        <w:t>within 3 metres of any part of your neighbour's building or structure, if you will dig deeper than the bottom of their foundations (section 6(1)); or</w:t>
      </w:r>
    </w:p>
    <w:p>
      <w:pPr>
        <w:pStyle w:val="ListBullet"/>
        <w:spacing w:after="20"/>
      </w:pPr>
      <w:r>
        <w:rPr>
          <w:rFonts w:ascii="Arial" w:hAnsi="Arial"/>
          <w:b w:val="0"/>
          <w:i w:val="0"/>
          <w:sz w:val="19"/>
        </w:rPr>
        <w:t>within 6 metres, if the excavation will cut a line drawn downwards at 45 degrees from the bottom of their foundations (section 6(2)).</w:t>
      </w:r>
    </w:p>
    <w:p>
      <w:pPr>
        <w:spacing w:after="60" w:before="60"/>
      </w:pPr>
      <w:r>
        <w:rPr>
          <w:rFonts w:ascii="Arial" w:hAnsi="Arial"/>
          <w:b w:val="0"/>
          <w:i w:val="0"/>
          <w:sz w:val="19"/>
        </w:rPr>
        <w:t>Typical examples are new foundations for an extension, a basement, a swimming pool or a deep drain. Measure from your neighbour's building, not from the boundary. If your neighbour's foundations are shallow, which is common in older houses, even a modest dig can trigger the Act.</w:t>
      </w:r>
    </w:p>
    <w:p>
      <w:pPr>
        <w:keepNext/>
        <w:spacing w:after="60" w:before="100"/>
      </w:pPr>
      <w:r>
        <w:rPr>
          <w:rFonts w:ascii="Arial" w:hAnsi="Arial"/>
          <w:b/>
          <w:i w:val="0"/>
          <w:color w:val="1F4E8C"/>
          <w:sz w:val="22"/>
        </w:rPr>
        <w:t>Before you serve it</w:t>
      </w:r>
    </w:p>
    <w:p>
      <w:pPr>
        <w:pStyle w:val="ListBullet"/>
        <w:spacing w:after="20"/>
      </w:pPr>
      <w:r>
        <w:rPr>
          <w:rFonts w:ascii="Arial" w:hAnsi="Arial"/>
          <w:b w:val="0"/>
          <w:i w:val="0"/>
          <w:sz w:val="19"/>
        </w:rPr>
        <w:t>Say clearly where you will dig, how deep, and whether you plan to underpin or otherwise strengthen or safeguard your neighbour's foundations. If you do, say how. If you do not, say so.</w:t>
      </w:r>
    </w:p>
    <w:p>
      <w:pPr>
        <w:pStyle w:val="ListBullet"/>
        <w:spacing w:after="20"/>
      </w:pPr>
      <w:r>
        <w:rPr>
          <w:rFonts w:ascii="Arial" w:hAnsi="Arial"/>
          <w:b w:val="0"/>
          <w:i w:val="0"/>
          <w:sz w:val="19"/>
        </w:rPr>
        <w:t>Enclose plans and sections showing the site and depth of the excavation and, if you are erecting a building or structure, its position. The Act requires these.</w:t>
      </w:r>
    </w:p>
    <w:p>
      <w:pPr>
        <w:pStyle w:val="ListBullet"/>
        <w:spacing w:after="20"/>
      </w:pPr>
      <w:r>
        <w:rPr>
          <w:rFonts w:ascii="Arial" w:hAnsi="Arial"/>
          <w:b w:val="0"/>
          <w:i w:val="0"/>
          <w:sz w:val="19"/>
        </w:rPr>
        <w:t>Choose a start date at least one month after you serve the notice.</w:t>
      </w:r>
    </w:p>
    <w:p>
      <w:pPr>
        <w:keepNext/>
        <w:spacing w:after="60" w:before="100"/>
      </w:pPr>
      <w:r>
        <w:rPr>
          <w:rFonts w:ascii="Arial" w:hAnsi="Arial"/>
          <w:b/>
          <w:i w:val="0"/>
          <w:color w:val="1F4E8C"/>
          <w:sz w:val="22"/>
        </w:rPr>
        <w:t>Serving the notice</w:t>
      </w:r>
    </w:p>
    <w:p>
      <w:pPr>
        <w:pStyle w:val="ListBullet"/>
        <w:spacing w:after="20"/>
      </w:pPr>
      <w:r>
        <w:rPr>
          <w:rFonts w:ascii="Arial" w:hAnsi="Arial"/>
          <w:b w:val="0"/>
          <w:i w:val="0"/>
          <w:sz w:val="19"/>
        </w:rPr>
        <w:t>Serve every adjoining owner: the freeholder and anyone with a lease of more than a year. If the property is rented out, also give the person living there a copy.</w:t>
      </w:r>
    </w:p>
    <w:p>
      <w:pPr>
        <w:pStyle w:val="ListBullet"/>
        <w:spacing w:after="20"/>
      </w:pPr>
      <w:r>
        <w:rPr>
          <w:rFonts w:ascii="Arial" w:hAnsi="Arial"/>
          <w:b w:val="0"/>
          <w:i w:val="0"/>
          <w:sz w:val="19"/>
        </w:rPr>
        <w:t>Get owners' names and addresses from HM Land Registry (an official copy of the title register, for a small fee) rather than guessing. If a company owns the property, address the notice to its secretary at its registered office.</w:t>
      </w:r>
    </w:p>
    <w:p>
      <w:pPr>
        <w:pStyle w:val="ListBullet"/>
        <w:spacing w:after="20"/>
      </w:pPr>
      <w:r>
        <w:rPr>
          <w:rFonts w:ascii="Arial" w:hAnsi="Arial"/>
          <w:b w:val="0"/>
          <w:i w:val="0"/>
          <w:sz w:val="19"/>
        </w:rPr>
        <w:t>You can hand it over in person or post it to their usual or last-known home or business address. Email only counts if they have already told you in writing that they are happy to receive notices by email. If you cannot find anyone, you can address it to 'the owner' and fix it to a conspicuous part of the property.</w:t>
      </w:r>
    </w:p>
    <w:p>
      <w:pPr>
        <w:pStyle w:val="ListBullet"/>
        <w:spacing w:after="20"/>
      </w:pPr>
      <w:r>
        <w:rPr>
          <w:rFonts w:ascii="Arial" w:hAnsi="Arial"/>
          <w:b w:val="0"/>
          <w:i w:val="0"/>
          <w:sz w:val="19"/>
        </w:rPr>
        <w:t>Keep proof of how and when you served it (a dated photo, a posting receipt or a signed note), because every time limit runs from the date of service.</w:t>
      </w:r>
    </w:p>
    <w:p>
      <w:pPr>
        <w:keepNext/>
        <w:spacing w:after="60" w:before="100"/>
      </w:pPr>
      <w:r>
        <w:rPr>
          <w:rFonts w:ascii="Arial" w:hAnsi="Arial"/>
          <w:b/>
          <w:i w:val="0"/>
          <w:color w:val="1F4E8C"/>
          <w:sz w:val="22"/>
        </w:rPr>
        <w:t>After you serve it</w:t>
      </w:r>
    </w:p>
    <w:p>
      <w:pPr>
        <w:pStyle w:val="ListBullet"/>
        <w:spacing w:after="20"/>
      </w:pPr>
      <w:r>
        <w:rPr>
          <w:rFonts w:ascii="Arial" w:hAnsi="Arial"/>
          <w:b w:val="0"/>
          <w:i w:val="0"/>
          <w:sz w:val="19"/>
        </w:rPr>
        <w:t>Your neighbour has 14 days to consent in writing. If they do not, they are treated as dissenting and you will need a surveyor, followed by a party wall award, before you dig.</w:t>
      </w:r>
    </w:p>
    <w:p>
      <w:pPr>
        <w:pStyle w:val="ListBullet"/>
        <w:spacing w:after="20"/>
      </w:pPr>
      <w:r>
        <w:rPr>
          <w:rFonts w:ascii="Arial" w:hAnsi="Arial"/>
          <w:b w:val="0"/>
          <w:i w:val="0"/>
          <w:sz w:val="19"/>
        </w:rPr>
        <w:t>If they ask, you must underpin or strengthen their foundations so far as necessary, at your own expense (section 6(3)).</w:t>
      </w:r>
    </w:p>
    <w:p>
      <w:pPr>
        <w:pStyle w:val="ListBullet"/>
        <w:spacing w:after="20"/>
      </w:pPr>
      <w:r>
        <w:rPr>
          <w:rFonts w:ascii="Arial" w:hAnsi="Arial"/>
          <w:b w:val="0"/>
          <w:i w:val="0"/>
          <w:sz w:val="19"/>
        </w:rPr>
        <w:t>The notice stops having effect if the work has not begun within 12 months of service.</w:t>
      </w:r>
    </w:p>
    <w:p>
      <w:pPr>
        <w:keepNext/>
        <w:spacing w:after="60" w:before="100"/>
      </w:pPr>
      <w:r>
        <w:rPr>
          <w:rFonts w:ascii="Arial" w:hAnsi="Arial"/>
          <w:b/>
          <w:i w:val="0"/>
          <w:color w:val="1F4E8C"/>
          <w:sz w:val="22"/>
        </w:rPr>
        <w:t>Common mistakes</w:t>
      </w:r>
    </w:p>
    <w:p>
      <w:pPr>
        <w:pStyle w:val="ListBullet"/>
        <w:spacing w:after="20"/>
      </w:pPr>
      <w:r>
        <w:rPr>
          <w:rFonts w:ascii="Arial" w:hAnsi="Arial"/>
          <w:b w:val="0"/>
          <w:i w:val="0"/>
          <w:sz w:val="19"/>
        </w:rPr>
        <w:t>Not knowing how deep your neighbour's foundations are, then guessing. A trial pit or a surveyor's advice can settle it.</w:t>
      </w:r>
    </w:p>
    <w:p>
      <w:pPr>
        <w:pStyle w:val="ListBullet"/>
        <w:spacing w:after="20"/>
      </w:pPr>
      <w:r>
        <w:rPr>
          <w:rFonts w:ascii="Arial" w:hAnsi="Arial"/>
          <w:b w:val="0"/>
          <w:i w:val="0"/>
          <w:sz w:val="19"/>
        </w:rPr>
        <w:t>Leaving out the plans and sections. A notice without them may be invalid.</w:t>
      </w:r>
    </w:p>
    <w:p>
      <w:pPr>
        <w:pStyle w:val="ListBullet"/>
        <w:spacing w:after="20"/>
      </w:pPr>
      <w:r>
        <w:rPr>
          <w:rFonts w:ascii="Arial" w:hAnsi="Arial"/>
          <w:b w:val="0"/>
          <w:i w:val="0"/>
          <w:sz w:val="19"/>
        </w:rPr>
        <w:t>Using this notice when you also need to cut into a party wall. Cutting into the wall needs a party structure notice as well.</w:t>
      </w:r>
    </w:p>
    <w:p>
      <w:pPr>
        <w:spacing w:after="60" w:before="120"/>
      </w:pPr>
      <w:r>
        <w:rPr>
          <w:rFonts w:ascii="Arial" w:hAnsi="Arial"/>
          <w:b w:val="0"/>
          <w:i w:val="0"/>
          <w:color w:val="5A6573"/>
          <w:sz w:val="18"/>
        </w:rPr>
        <w:t>Official guidance: gov.uk/guidance/party-wall-etc-act-1996-guidance</w:t>
      </w:r>
    </w:p>
    <w:p>
      <w:pPr>
        <w:spacing w:after="60"/>
      </w:pPr>
      <w:r>
        <w:rPr>
          <w:rFonts w:ascii="Arial" w:hAnsi="Arial"/>
          <w:b/>
          <w:i w:val="0"/>
          <w:color w:val="1F4E8C"/>
          <w:sz w:val="18"/>
        </w:rPr>
        <w:t>Need a hand? Bluegrass Surveying: WhatsApp or call 020 3633 1430, or email info@bluegrass-surveying.com. If you would like us to act as your surveyor, ask us for a fixed fee quote first.</w:t>
      </w:r>
    </w:p>
    <w:p>
      <w:pPr>
        <w:spacing w:after="0"/>
      </w:pPr>
      <w:r>
        <w:rPr>
          <w:rFonts w:ascii="Arial" w:hAnsi="Arial"/>
          <w:b w:val="0"/>
          <w:i w:val="0"/>
          <w:color w:val="5A6573"/>
          <w:sz w:val="16"/>
        </w:rPr>
        <w:t>This template and guidance are provided free, for general information only. They are not legal advice and do not make Bluegrass Surveying your surveyor or adviser. The law is the Party Wall etc. Act 1996 and every property is different, so check that the notice fits your situation before you serve it. To the extent the law allows, Bluegrass Surveying accepts no responsibility for notices served using this template. If in doubt, take advice from a party wall surveyor or solicitor.</w:t>
      </w:r>
    </w:p>
    <w:p>
      <w:pPr>
        <w:sectPr>
          <w:headerReference w:type="default" r:id="rId9"/>
          <w:footerReference w:type="default" r:id="rId10"/>
          <w:pgSz w:w="11906" w:h="16838"/>
          <w:pgMar w:top="1531" w:right="1247" w:bottom="850" w:left="1247" w:header="510" w:footer="397" w:gutter="0"/>
          <w:cols w:space="720"/>
          <w:docGrid w:linePitch="360"/>
        </w:sectPr>
      </w:pPr>
    </w:p>
    <w:p>
      <w:pPr>
        <w:spacing w:after="40"/>
      </w:pPr>
      <w:r>
        <w:rPr>
          <w:rFonts w:ascii="Arial" w:hAnsi="Arial"/>
          <w:b/>
          <w:i w:val="0"/>
          <w:color w:val="1F4E8C"/>
          <w:sz w:val="40"/>
        </w:rPr>
        <w:t>ADJACENT EXCAVATION AND CONSTRUCTION NOTICE</w:t>
      </w:r>
    </w:p>
    <w:p>
      <w:pPr>
        <w:spacing w:after="200"/>
      </w:pPr>
      <w:r>
        <w:rPr>
          <w:rFonts w:ascii="Arial" w:hAnsi="Arial"/>
          <w:b w:val="0"/>
          <w:i w:val="0"/>
          <w:color w:val="5A6573"/>
          <w:sz w:val="22"/>
        </w:rPr>
        <w:t>Party Wall etc. Act 1996, section 6(5)</w:t>
      </w:r>
    </w:p>
    <w:p>
      <w:pPr>
        <w:spacing w:after="40"/>
      </w:pPr>
      <w:r>
        <w:rPr>
          <w:rFonts w:ascii="Arial" w:hAnsi="Arial"/>
          <w:b w:val="0"/>
          <w:i w:val="0"/>
        </w:rPr>
        <w:t>To:</w:t>
        <w:tab/>
      </w:r>
      <w:r>
        <w:rPr>
          <w:rFonts w:ascii="Arial" w:hAnsi="Arial"/>
          <w:b w:val="0"/>
          <w:i w:val="0"/>
          <w:highlight w:val="yellow"/>
        </w:rPr>
        <w:t>[name(s) of adjoining owner(s)]</w:t>
      </w:r>
    </w:p>
    <w:p>
      <w:pPr>
        <w:spacing w:after="40"/>
      </w:pPr>
      <w:r>
        <w:rPr>
          <w:rFonts w:ascii="Arial" w:hAnsi="Arial"/>
          <w:b w:val="0"/>
          <w:i w:val="0"/>
        </w:rPr>
        <w:t>Of:</w:t>
        <w:tab/>
      </w:r>
      <w:r>
        <w:rPr>
          <w:rFonts w:ascii="Arial" w:hAnsi="Arial"/>
          <w:b w:val="0"/>
          <w:i w:val="0"/>
          <w:highlight w:val="yellow"/>
        </w:rPr>
        <w:t>[address of adjoining owner(s) for service of notices]</w:t>
      </w:r>
    </w:p>
    <w:p>
      <w:pPr>
        <w:spacing w:after="200"/>
      </w:pPr>
      <w:r>
        <w:rPr>
          <w:rFonts w:ascii="Arial" w:hAnsi="Arial"/>
          <w:b w:val="0"/>
          <w:i w:val="0"/>
        </w:rPr>
        <w:t>Date of this notice:</w:t>
        <w:tab/>
      </w:r>
      <w:r>
        <w:rPr>
          <w:rFonts w:ascii="Arial" w:hAnsi="Arial"/>
          <w:b w:val="0"/>
          <w:i w:val="0"/>
          <w:highlight w:val="yellow"/>
        </w:rPr>
        <w:t>[date]</w:t>
      </w:r>
    </w:p>
    <w:p>
      <w:r>
        <w:rPr>
          <w:rFonts w:ascii="Arial" w:hAnsi="Arial"/>
          <w:b w:val="0"/>
          <w:i w:val="0"/>
          <w:highlight w:val="yellow"/>
        </w:rPr>
        <w:t>[I / We]</w:t>
      </w:r>
      <w:r>
        <w:rPr>
          <w:rFonts w:ascii="Arial" w:hAnsi="Arial"/>
          <w:b w:val="0"/>
          <w:i w:val="0"/>
        </w:rPr>
        <w:t xml:space="preserve">, </w:t>
      </w:r>
      <w:r>
        <w:rPr>
          <w:rFonts w:ascii="Arial" w:hAnsi="Arial"/>
          <w:b w:val="0"/>
          <w:i w:val="0"/>
          <w:highlight w:val="yellow"/>
        </w:rPr>
        <w:t>[name(s) of building owner(s)]</w:t>
      </w:r>
      <w:r>
        <w:rPr>
          <w:rFonts w:ascii="Arial" w:hAnsi="Arial"/>
          <w:b w:val="0"/>
          <w:i w:val="0"/>
        </w:rPr>
        <w:t xml:space="preserve"> of </w:t>
      </w:r>
      <w:r>
        <w:rPr>
          <w:rFonts w:ascii="Arial" w:hAnsi="Arial"/>
          <w:b w:val="0"/>
          <w:i w:val="0"/>
          <w:highlight w:val="yellow"/>
        </w:rPr>
        <w:t>[building owner's postal address]</w:t>
      </w:r>
      <w:r>
        <w:rPr>
          <w:rFonts w:ascii="Arial" w:hAnsi="Arial"/>
          <w:b w:val="0"/>
          <w:i w:val="0"/>
        </w:rPr>
        <w:t xml:space="preserve">, the owner(s) of the land at </w:t>
      </w:r>
      <w:r>
        <w:rPr>
          <w:rFonts w:ascii="Arial" w:hAnsi="Arial"/>
          <w:b w:val="0"/>
          <w:i w:val="0"/>
          <w:highlight w:val="yellow"/>
        </w:rPr>
        <w:t>[address of the building owner's property]</w:t>
      </w:r>
      <w:r>
        <w:rPr>
          <w:rFonts w:ascii="Arial" w:hAnsi="Arial"/>
          <w:b w:val="0"/>
          <w:i w:val="0"/>
        </w:rPr>
        <w:t xml:space="preserve">, which is adjacent to your land and buildings at </w:t>
      </w:r>
      <w:r>
        <w:rPr>
          <w:rFonts w:ascii="Arial" w:hAnsi="Arial"/>
          <w:b w:val="0"/>
          <w:i w:val="0"/>
          <w:highlight w:val="yellow"/>
        </w:rPr>
        <w:t>[address of the adjoining owner's property]</w:t>
      </w:r>
      <w:r>
        <w:rPr>
          <w:rFonts w:ascii="Arial" w:hAnsi="Arial"/>
          <w:b w:val="0"/>
          <w:i w:val="0"/>
        </w:rPr>
        <w:t xml:space="preserve">, give you notice that </w:t>
      </w:r>
      <w:r>
        <w:rPr>
          <w:rFonts w:ascii="Arial" w:hAnsi="Arial"/>
          <w:b w:val="0"/>
          <w:i w:val="0"/>
          <w:highlight w:val="yellow"/>
        </w:rPr>
        <w:t>[I / we]</w:t>
      </w:r>
      <w:r>
        <w:rPr>
          <w:rFonts w:ascii="Arial" w:hAnsi="Arial"/>
          <w:b w:val="0"/>
          <w:i w:val="0"/>
        </w:rPr>
        <w:t xml:space="preserve"> propose to excavate </w:t>
      </w:r>
      <w:r>
        <w:rPr>
          <w:rFonts w:ascii="Arial" w:hAnsi="Arial"/>
          <w:b w:val="0"/>
          <w:i w:val="0"/>
          <w:highlight w:val="yellow"/>
        </w:rPr>
        <w:t>[, and excavate for and erect a building or structure,]</w:t>
      </w:r>
      <w:r>
        <w:rPr>
          <w:rFonts w:ascii="Arial" w:hAnsi="Arial"/>
          <w:b w:val="0"/>
          <w:i w:val="0"/>
        </w:rPr>
        <w:t xml:space="preserve"> within </w:t>
      </w:r>
      <w:r>
        <w:rPr>
          <w:rFonts w:ascii="Arial" w:hAnsi="Arial"/>
          <w:b w:val="0"/>
          <w:i w:val="0"/>
          <w:highlight w:val="yellow"/>
        </w:rPr>
        <w:t>[3 / 6]</w:t>
      </w:r>
      <w:r>
        <w:rPr>
          <w:rFonts w:ascii="Arial" w:hAnsi="Arial"/>
          <w:b w:val="0"/>
          <w:i w:val="0"/>
        </w:rPr>
        <w:t xml:space="preserve"> metres of your building, to a level lower than the bottom of your foundations, as section 6 of the Act describes.</w:t>
      </w:r>
    </w:p>
    <w:p>
      <w:pPr>
        <w:spacing w:after="40"/>
      </w:pPr>
      <w:r>
        <w:rPr>
          <w:rFonts w:ascii="Arial" w:hAnsi="Arial"/>
          <w:b w:val="0"/>
          <w:i w:val="0"/>
        </w:rPr>
        <w:t>The proposed excavation and construction is as follows:</w:t>
      </w:r>
    </w:p>
    <w:p>
      <w:pPr>
        <w:ind w:left="454"/>
      </w:pPr>
      <w:r>
        <w:rPr>
          <w:rFonts w:ascii="Arial" w:hAnsi="Arial"/>
          <w:b w:val="0"/>
          <w:i w:val="0"/>
          <w:highlight w:val="yellow"/>
        </w:rPr>
        <w:t>[describe the excavation and any new building or structure, including where it is and how deep it will go]</w:t>
      </w:r>
    </w:p>
    <w:p>
      <w:pPr>
        <w:spacing w:after="40"/>
      </w:pPr>
      <w:r>
        <w:rPr>
          <w:rFonts w:ascii="Arial" w:hAnsi="Arial"/>
          <w:b w:val="0"/>
          <w:i w:val="0"/>
          <w:highlight w:val="yellow"/>
        </w:rPr>
        <w:t>[Choose one and delete the other:]</w:t>
      </w:r>
    </w:p>
    <w:p>
      <w:pPr>
        <w:spacing w:after="60"/>
        <w:ind w:left="454"/>
      </w:pPr>
      <w:r>
        <w:rPr>
          <w:rFonts w:ascii="Arial" w:hAnsi="Arial"/>
          <w:b w:val="0"/>
          <w:i w:val="0"/>
          <w:highlight w:val="yellow"/>
        </w:rPr>
        <w:t>[I / We]</w:t>
      </w:r>
      <w:r>
        <w:rPr>
          <w:rFonts w:ascii="Arial" w:hAnsi="Arial"/>
          <w:b w:val="0"/>
          <w:i w:val="0"/>
        </w:rPr>
        <w:t xml:space="preserve"> propose to </w:t>
      </w:r>
      <w:r>
        <w:rPr>
          <w:rFonts w:ascii="Arial" w:hAnsi="Arial"/>
          <w:b w:val="0"/>
          <w:i w:val="0"/>
          <w:highlight w:val="yellow"/>
        </w:rPr>
        <w:t>[underpin / strengthen / safeguard]</w:t>
      </w:r>
      <w:r>
        <w:rPr>
          <w:rFonts w:ascii="Arial" w:hAnsi="Arial"/>
          <w:b w:val="0"/>
          <w:i w:val="0"/>
        </w:rPr>
        <w:t xml:space="preserve"> the foundations of your building by </w:t>
      </w:r>
      <w:r>
        <w:rPr>
          <w:rFonts w:ascii="Arial" w:hAnsi="Arial"/>
          <w:b w:val="0"/>
          <w:i w:val="0"/>
          <w:highlight w:val="yellow"/>
        </w:rPr>
        <w:t>[method, for example: underpinning in short sections]</w:t>
      </w:r>
      <w:r>
        <w:rPr>
          <w:rFonts w:ascii="Arial" w:hAnsi="Arial"/>
          <w:b w:val="0"/>
          <w:i w:val="0"/>
        </w:rPr>
        <w:t>.</w:t>
      </w:r>
    </w:p>
    <w:p>
      <w:pPr>
        <w:ind w:left="454"/>
      </w:pPr>
      <w:r>
        <w:rPr>
          <w:rFonts w:ascii="Arial" w:hAnsi="Arial"/>
          <w:b w:val="0"/>
          <w:i w:val="0"/>
          <w:highlight w:val="yellow"/>
        </w:rPr>
        <w:t>[I / We]</w:t>
      </w:r>
      <w:r>
        <w:rPr>
          <w:rFonts w:ascii="Arial" w:hAnsi="Arial"/>
          <w:b w:val="0"/>
          <w:i w:val="0"/>
        </w:rPr>
        <w:t xml:space="preserve"> do not propose to underpin or otherwise strengthen or safeguard the foundations of your building. If you require it, </w:t>
      </w:r>
      <w:r>
        <w:rPr>
          <w:rFonts w:ascii="Arial" w:hAnsi="Arial"/>
          <w:b w:val="0"/>
          <w:i w:val="0"/>
          <w:highlight w:val="yellow"/>
        </w:rPr>
        <w:t>[I / we]</w:t>
      </w:r>
      <w:r>
        <w:rPr>
          <w:rFonts w:ascii="Arial" w:hAnsi="Arial"/>
          <w:b w:val="0"/>
          <w:i w:val="0"/>
        </w:rPr>
        <w:t xml:space="preserve"> will do so at </w:t>
      </w:r>
      <w:r>
        <w:rPr>
          <w:rFonts w:ascii="Arial" w:hAnsi="Arial"/>
          <w:b w:val="0"/>
          <w:i w:val="0"/>
          <w:highlight w:val="yellow"/>
        </w:rPr>
        <w:t>[my / our]</w:t>
      </w:r>
      <w:r>
        <w:rPr>
          <w:rFonts w:ascii="Arial" w:hAnsi="Arial"/>
          <w:b w:val="0"/>
          <w:i w:val="0"/>
        </w:rPr>
        <w:t xml:space="preserve"> own expense so far as necessary (section 6(3)).</w:t>
      </w:r>
    </w:p>
    <w:p>
      <w:r>
        <w:rPr>
          <w:rFonts w:ascii="Arial" w:hAnsi="Arial"/>
          <w:b w:val="0"/>
          <w:i w:val="0"/>
        </w:rPr>
        <w:t>Plans and sections showing the site and depth of the excavation, and the site of any building or structure to be erected, are enclosed (section 6(6)).</w:t>
      </w:r>
    </w:p>
    <w:p>
      <w:r>
        <w:rPr>
          <w:rFonts w:ascii="Arial" w:hAnsi="Arial"/>
          <w:b w:val="0"/>
          <w:i w:val="0"/>
          <w:highlight w:val="yellow"/>
        </w:rPr>
        <w:t>[I / We]</w:t>
      </w:r>
      <w:r>
        <w:rPr>
          <w:rFonts w:ascii="Arial" w:hAnsi="Arial"/>
          <w:b w:val="0"/>
          <w:i w:val="0"/>
        </w:rPr>
        <w:t xml:space="preserve"> intend to start the work on or after </w:t>
      </w:r>
      <w:r>
        <w:rPr>
          <w:rFonts w:ascii="Arial" w:hAnsi="Arial"/>
          <w:b w:val="0"/>
          <w:i w:val="0"/>
          <w:highlight w:val="yellow"/>
        </w:rPr>
        <w:t>[date, at least one month after the date of service]</w:t>
      </w:r>
      <w:r>
        <w:rPr>
          <w:rFonts w:ascii="Arial" w:hAnsi="Arial"/>
          <w:b w:val="0"/>
          <w:i w:val="0"/>
        </w:rPr>
        <w:t>.</w:t>
      </w:r>
    </w:p>
    <w:p>
      <w:pPr>
        <w:spacing w:after="240"/>
      </w:pPr>
      <w:r>
        <w:rPr>
          <w:rFonts w:ascii="Arial" w:hAnsi="Arial"/>
          <w:b w:val="0"/>
          <w:i w:val="0"/>
        </w:rPr>
        <w:t xml:space="preserve">If you consent, please serve a notice of consent on </w:t>
      </w:r>
      <w:r>
        <w:rPr>
          <w:rFonts w:ascii="Arial" w:hAnsi="Arial"/>
          <w:b w:val="0"/>
          <w:i w:val="0"/>
          <w:highlight w:val="yellow"/>
        </w:rPr>
        <w:t>[me / us]</w:t>
      </w:r>
      <w:r>
        <w:rPr>
          <w:rFonts w:ascii="Arial" w:hAnsi="Arial"/>
          <w:b w:val="0"/>
          <w:i w:val="0"/>
        </w:rPr>
        <w:t xml:space="preserve"> within 14 days of the day this notice is served. A response form is enclosed. If you do not, section 6(7) of the Act treats you as having dissented and a dispute is treated as having arisen, to be settled under section 10 of the Act.</w:t>
      </w:r>
    </w:p>
    <w:tbl>
      <w:tblPr>
        <w:tblW w:type="auto" w:w="0"/>
        <w:jc w:val="left"/>
        <w:tblLook w:firstColumn="1" w:firstRow="1" w:lastColumn="0" w:lastRow="0" w:noHBand="0" w:noVBand="1" w:val="04A0"/>
      </w:tblPr>
      <w:tblGrid>
        <w:gridCol w:w="4706"/>
        <w:gridCol w:w="4706"/>
      </w:tblGrid>
      <w:tr>
        <w:tc>
          <w:tcPr>
            <w:tcW w:type="dxa" w:w="2041"/>
          </w:tcPr>
          <w:p>
            <w:pPr>
              <w:spacing w:after="40"/>
            </w:pPr>
            <w:r/>
            <w:r>
              <w:rPr>
                <w:rFonts w:ascii="Arial" w:hAnsi="Arial"/>
                <w:b/>
                <w:i w:val="0"/>
                <w:sz w:val="22"/>
              </w:rPr>
              <w:t>Signed:</w:t>
            </w:r>
          </w:p>
        </w:tc>
        <w:tc>
          <w:tcPr>
            <w:tcW w:type="dxa" w:w="6803"/>
          </w:tcPr>
          <w:p>
            <w:pPr>
              <w:spacing w:after="40"/>
            </w:pPr>
            <w:r/>
            <w:r>
              <w:rPr>
                <w:rFonts w:ascii="Arial" w:hAnsi="Arial"/>
                <w:b w:val="0"/>
                <w:i w:val="0"/>
                <w:sz w:val="22"/>
              </w:rPr>
              <w:t>............................................................</w:t>
            </w:r>
          </w:p>
        </w:tc>
      </w:tr>
      <w:tr>
        <w:tc>
          <w:tcPr>
            <w:tcW w:type="dxa" w:w="2041"/>
          </w:tcPr>
          <w:p>
            <w:pPr>
              <w:spacing w:after="40"/>
            </w:pPr>
            <w:r/>
            <w:r>
              <w:rPr>
                <w:rFonts w:ascii="Arial" w:hAnsi="Arial"/>
                <w:b/>
                <w:i w:val="0"/>
                <w:sz w:val="22"/>
              </w:rPr>
              <w:t>Print name(s):</w:t>
            </w:r>
          </w:p>
        </w:tc>
        <w:tc>
          <w:tcPr>
            <w:tcW w:type="dxa" w:w="6803"/>
          </w:tcPr>
          <w:p>
            <w:pPr>
              <w:spacing w:after="40"/>
            </w:pPr>
            <w:r/>
            <w:r>
              <w:rPr>
                <w:rFonts w:ascii="Arial" w:hAnsi="Arial"/>
                <w:b w:val="0"/>
                <w:i w:val="0"/>
                <w:sz w:val="22"/>
                <w:highlight w:val="yellow"/>
              </w:rPr>
              <w:t>[name(s) of building owner(s)]</w:t>
            </w:r>
          </w:p>
        </w:tc>
      </w:tr>
      <w:tr>
        <w:tc>
          <w:tcPr>
            <w:tcW w:type="dxa" w:w="2041"/>
          </w:tcPr>
          <w:p>
            <w:pPr>
              <w:spacing w:after="40"/>
            </w:pPr>
            <w:r/>
            <w:r>
              <w:rPr>
                <w:rFonts w:ascii="Arial" w:hAnsi="Arial"/>
                <w:b/>
                <w:i w:val="0"/>
                <w:sz w:val="22"/>
              </w:rPr>
              <w:t>Date:</w:t>
            </w:r>
          </w:p>
        </w:tc>
        <w:tc>
          <w:tcPr>
            <w:tcW w:type="dxa" w:w="6803"/>
          </w:tcPr>
          <w:p>
            <w:pPr>
              <w:spacing w:after="40"/>
            </w:pPr>
            <w:r/>
            <w:r>
              <w:rPr>
                <w:rFonts w:ascii="Arial" w:hAnsi="Arial"/>
                <w:b w:val="0"/>
                <w:i w:val="0"/>
                <w:sz w:val="22"/>
                <w:highlight w:val="yellow"/>
              </w:rPr>
              <w:t>[date signed and served]</w:t>
            </w:r>
          </w:p>
        </w:tc>
      </w:tr>
    </w:tbl>
    <w:p>
      <w:pPr>
        <w:spacing w:after="40"/>
      </w:pPr>
    </w:p>
    <w:p>
      <w:pPr>
        <w:spacing w:after="40"/>
      </w:pPr>
      <w:r>
        <w:rPr>
          <w:rFonts w:ascii="Arial" w:hAnsi="Arial"/>
          <w:b w:val="0"/>
          <w:i w:val="0"/>
          <w:sz w:val="20"/>
        </w:rPr>
        <w:t xml:space="preserve">Contact details for replies: </w:t>
      </w:r>
      <w:r>
        <w:rPr>
          <w:rFonts w:ascii="Arial" w:hAnsi="Arial"/>
          <w:b w:val="0"/>
          <w:i w:val="0"/>
          <w:sz w:val="20"/>
          <w:highlight w:val="yellow"/>
        </w:rPr>
        <w:t>[postal address, email address and telephone number]</w:t>
      </w:r>
    </w:p>
    <w:p>
      <w:pPr>
        <w:spacing w:after="40"/>
      </w:pPr>
      <w:r>
        <w:rPr>
          <w:rFonts w:ascii="Arial" w:hAnsi="Arial"/>
          <w:b w:val="0"/>
          <w:i w:val="0"/>
          <w:sz w:val="20"/>
        </w:rPr>
        <w:t>Served by:   ☐ hand delivery    ☐ post    ☐ email (only if agreed in writing)</w:t>
      </w:r>
    </w:p>
    <w:p>
      <w:r>
        <w:rPr>
          <w:rFonts w:ascii="Arial" w:hAnsi="Arial"/>
          <w:b w:val="0"/>
          <w:i w:val="0"/>
          <w:sz w:val="20"/>
        </w:rPr>
        <w:t xml:space="preserve">Date and time of service: </w:t>
      </w:r>
      <w:r>
        <w:rPr>
          <w:rFonts w:ascii="Arial" w:hAnsi="Arial"/>
          <w:b w:val="0"/>
          <w:i w:val="0"/>
          <w:sz w:val="20"/>
          <w:highlight w:val="yellow"/>
        </w:rPr>
        <w:t>[date and time]</w:t>
      </w:r>
    </w:p>
    <w:sectPr w:rsidR="00FC693F" w:rsidRPr="0006063C" w:rsidSect="00034616">
      <w:headerReference w:type="default" r:id="rId11"/>
      <w:footerReference w:type="default" r:id="rId12"/>
      <w:pgSz w:w="11906" w:h="16838"/>
      <w:pgMar w:top="1134" w:right="1247" w:bottom="1134" w:left="1247"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b w:val="0"/>
        <w:i w:val="0"/>
        <w:color w:val="5A6573"/>
        <w:sz w:val="16"/>
      </w:rPr>
      <w:t>Free template from Bluegrass Surveying  |  bluegrass-surveying.com  |  Guidance only, not legal advice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drawing>
        <wp:inline xmlns:a="http://schemas.openxmlformats.org/drawingml/2006/main" xmlns:pic="http://schemas.openxmlformats.org/drawingml/2006/picture">
          <wp:extent cx="1224000" cy="594405"/>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224000" cy="594405"/>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